
<file path=[Content_Types].xml><?xml version="1.0" encoding="utf-8"?>
<Types xmlns="http://schemas.openxmlformats.org/package/2006/content-types">
  <Default ContentType="application/x-font-ttf" Extension="eot"/>
  <Default ContentType="image/gif" Extension="gif"/>
  <Default ContentType="image/jpeg" Extension="jpeg"/>
  <Default ContentType="image/jpeg" Extension="jpg"/>
  <Default ContentType="application/x-font-ttf" Extension="otf"/>
  <Default ContentType="image/png" Extension="png"/>
  <Default ContentType="application/vnd.openxmlformats-package.relationships+xml" Extension="rels"/>
  <Default ContentType="image/tiff" Extension="tiff"/>
  <Default ContentType="application/x-font-ttf" Extension="ttf"/>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3940"/>
        <w:gridCol w:w="3600"/>
        <w:gridCol w:w="3860"/>
        <w:gridCol w:w="100"/>
      </w:tblGrid>
      <w:tr>
        <w:trPr>
          <w:trHeight w:hRule="exact" w:val="60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vMerge w:val="restart"/>
            <w:tcMar>
              <w:top w:w="0" w:type="dxa"/>
              <w:left w:w="0" w:type="dxa"/>
              <w:bottom w:w="0" w:type="dxa"/>
              <w:right w:w="0" w:type="dxa"/>
            </w:tcMar>
            <w:vAlign w:val="top"/>
          </w:tcPr>
          <w:p>
            <w:pPr>
              <w:jc w:val="left"/>
              <w:spacing w:lineRule="auto" w:line="240" w:after="0" w:before="0"/>
            </w:pPr>
            <w:r>
              <w:rPr/>
              <w:drawing>
                <wp:anchor distT="0" distB="0" distL="0" distR="0" simplePos="0" relativeHeight="0" behindDoc="0" locked="0" layoutInCell="1" allowOverlap="1">
                  <wp:simplePos x="0" y="0"/>
                  <wp:positionH relativeFrom="column">
                    <wp:posOffset>0</wp:posOffset>
                  </wp:positionH>
                  <wp:positionV relativeFrom="paragraph">
                    <wp:posOffset>0</wp:posOffset>
                  </wp:positionV>
                  <wp:extent cx="2286000" cy="635000"/>
                  <wp:effectExtent l="0" t="0" r="0" b="0"/>
                  <wp:wrapNone/>
                  <wp:docPr id="497539227" name="Picture">
</wp:docPr>
                  <a:graphic>
                    <a:graphicData uri="http://schemas.openxmlformats.org/drawingml/2006/picture">
                      <pic:pic>
                        <pic:nvPicPr>
                          <pic:cNvPr id="497539227" name="Picture"/>
                          <pic:cNvPicPr/>
                        </pic:nvPicPr>
                        <pic:blipFill>
                          <a:blip r:embed="img_0_0_3.jpg"/>
                          <a:srcRect/>
                          <a:stretch>
                            <a:fillRect l="0" t="0" r="8888" b="0"/>
                          </a:stretch>
                        </pic:blipFill>
                        <pic:spPr>
                          <a:xfrm rot="0">
                            <a:off x="0" y="0"/>
                            <a:ext cx="2286000" cy="635000"/>
                          </a:xfrm>
                          <a:prstGeom prst="rect"/>
                        </pic:spPr>
                      </pic:pic>
                    </a:graphicData>
                  </a:graphic>
                </wp:anchor>
              </w:drawing>
            </w: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vMerge w:val="continue"/>
            <w:tcMar>
              <w:top w:w="0" w:type="dxa"/>
              <w:left w:w="0" w:type="dxa"/>
              <w:bottom w:w="0" w:type="dxa"/>
              <w:right w:w="0" w:type="dxa"/>
            </w:tcMar>
            <w:vAlign w:val="top"/>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gridSpan w:val="3"/>
            <w:shd w:val="clear" w:color="auto" w:fill="FFFFFF"/>
            <w:tcBorders>
              <w:top w:val="single" w:sz="8" w:space="0" w:color="000000"/>
            </w:tcBorders>
            <w:tcMar>
              <w:top w:w="0" w:type="dxa"/>
              <w:left w:w="0" w:type="dxa"/>
              <w:bottom w:w="0" w:type="dxa"/>
              <w:right w:w="0" w:type="dxa"/>
            </w:tcMar>
          </w:tcPr>
          <w:p>
            <w:pPr>
              <w:pStyle w:val="EMPTY_CELL_STYLE"/>
            </w:pPr>
          </w:p>
        </w:tc>
        <w:tc>
          <w:tcPr>
     </w:tcPr>
          <w:p>
            <w:pPr>
              <w:pStyle w:val="EMPTY_CELL_STYLE"/>
            </w:pPr>
          </w:p>
        </w:tc>
      </w:tr>
      <w:tr>
        <w:trPr>
          <w:trHeight w:hRule="exact" w:val="15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u w:val="single"/>
              </w:rPr>
              <w:t xml:space="preserve">РУКОВОДСТВО ПО ЭКСПЕРТНОЙ ОЦЕНКЕ</w:t>
            </w:r>
          </w:p>
        </w:tc>
        <w:tc>
          <w:tcPr>
     </w:tcPr>
          <w:p>
            <w:pPr>
              <w:pStyle w:val="EMPTY_CELL_STYLE"/>
            </w:pPr>
          </w:p>
        </w:tc>
      </w:tr>
    </w:tbl>
    <w:tbl>
      <w:tblPr>
        <w:tblLayout w:type="fixed"/>
      </w:tblPr>
      <w:tblGrid>
        <w:gridCol w:w="1"/>
        <w:gridCol w:w="11400"/>
        <w:gridCol w:w="200"/>
        <w:gridCol w:w="1"/>
      </w:tblGrid>
      <w:tr>
        <w:trPr>
          <w:trHeight w:hRule="exact" w:val="0"/>
        </w:trPr>
        <w:tc>
          <w:tcPr>
     </w:tcPr>
          <w:p>
            <w:pPr>
              <w:pStyle w:val="EMPTY_CELL_STYLE"/>
              <w:pageBreakBefore/>
            </w:pPr>
            <w:bookmarkStart w:id="1" w:name="JR_PAGE_ANCHOR_0_2"/>
            <w:bookmarkEnd w:id="1"/>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tcMar>
              <w:top w:w="0" w:type="dxa"/>
              <w:left w:w="0" w:type="dxa"/>
              <w:bottom w:w="0" w:type="dxa"/>
              <w:right w:w="0" w:type="dxa"/>
            </w:tcMar>
            <w:vAlign w:val="center"/>
          </w:tcPr>
          <w:p>
            <w:pPr>
              <w:ind/>
              <w:jc w:val="both"/>
            </w:pPr>
            <w:r>
              <w:rPr>
                <w:rFonts w:ascii="Times New Roman" w:hAnsi="Times New Roman" w:eastAsia="Times New Roman" w:cs="Times New Roman"/>
                <w:color w:val="000000"/>
                <w:sz w:val="24"/>
                <w:b w:val="true"/>
              </w:rPr>
              <w:t xml:space="preserve">Оценка и сопоставление заявок (оценочная стадия) лот № 890.22.00115 Приобретение лицензий на ПО ViPNet Client</w:t>
            </w:r>
          </w:p>
        </w:tc>
        <w:tc>
          <w:tcPr>
     </w:tcPr>
          <w:p>
            <w:pPr>
              <w:pStyle w:val="EMPTY_CELL_STYLE"/>
            </w:pPr>
          </w:p>
        </w:tc>
        <w:tc>
          <w:tcPr>
     </w:tcPr>
          <w:p>
            <w:pPr>
              <w:pStyle w:val="EMPTY_CELL_STYLE"/>
            </w:pPr>
          </w:p>
        </w:tc>
      </w:tr>
      <w:tr>
        <w:trPr>
          <w:trHeight w:hRule="atLeast" w:val="80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Pr>
          <w:p>
            <w:pPr>
              <w:pStyle w:val="EMPTY_CELL_STYLE"/>
            </w:pPr>
          </w:p>
        </w:tc>
        <w:tc>
          <w:tcPr>
     </w:tcPr>
          <w:p>
            <w:pPr>
              <w:pStyle w:val="EMPTY_CELL_STYLE"/>
            </w:pPr>
          </w:p>
        </w:tc>
      </w:tr>
      <w:tr>
        <w:trPr>
          <w:trHeight w:hRule="exact" w:val="12860"/>
        </w:trPr>
        <w:tc>
          <w:tcPr>
     </w:tcPr>
          <w:p>
            <w:pPr>
              <w:pStyle w:val="EMPTY_CELL_STYLE"/>
            </w:pPr>
          </w:p>
        </w:tc>
        <w:tc>
          <w:tcPr>
            <w:gridSpan w:val="2"/>
            <w:tcMar>
              <w:top w:w="0" w:type="dxa"/>
              <w:left w:w="0" w:type="dxa"/>
              <w:bottom w:w="0" w:type="dxa"/>
              <w:right w:w="0" w:type="dxa"/>
            </w:tcMar>
          </w:tcPr>
          <w:tbl>
            <w:tblPr>
              <w:tblLayout w:type="fixed"/>
            </w:tblPr>
            <w:tblGrid>
              <w:gridCol w:w="1000"/>
              <w:gridCol w:w="3000"/>
              <w:gridCol w:w="2000"/>
              <w:gridCol w:w="1400"/>
              <w:gridCol w:w="1400"/>
              <w:gridCol w:w="1400"/>
              <w:gridCol w:w="1400"/>
            </w:tblGrid>
            <w:tr>
              <w:trPr>
                <w:trHeight w:hRule="exact" w:val="30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п/п</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Направление</w:t>
                          <w:br/>
                          <w:br/>
                          <w:t xml:space="preserve">экспертной</w:t>
                          <w:br/>
                          <w:br/>
                          <w:t xml:space="preserve">оценки</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Краткое 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выставленного по критерию балла / полученного значения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Значимость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значимости критерия</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20%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Экономическая безопасность</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Коммерческое предложение</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60%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2.1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Надежность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20%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Добровольные системы подтверждения квалификации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70%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w:t>
                        </w:r>
                      </w:p>
                    </w:tc>
                  </w:tr>
                </w:tbl>
                <w:p>
                  <w:pPr>
                    <w:pStyle w:val="EMPTY_CELL_STYLE"/>
                  </w:pPr>
                </w:p>
              </w:tc>
            </w:tr>
            <w:tr>
              <w:trPr>
                <w:trHeight w:hRule="exact" w:val="11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1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Аккредитация при государственных, муниципальных, частных или иных заказчиках</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70%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3.1.1</w:t>
                        </w:r>
                      </w:p>
                    </w:tc>
                  </w:tr>
                </w:tbl>
                <w:p>
                  <w:pPr>
                    <w:pStyle w:val="EMPTY_CELL_STYLE"/>
                  </w:pPr>
                </w:p>
              </w:tc>
            </w:tr>
            <w:tr>
              <w:trPr>
                <w:trHeight w:hRule="exact" w:val="19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9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Наличие сертифицированных систем менеджмента и/или иных добровольных сертифицированных подтверждений компетенции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30%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3.1.2</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Юридические риски с учётом предложенных условий договора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Юридическая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30%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3.2</w:t>
                        </w:r>
                      </w:p>
                    </w:tc>
                  </w:tr>
                </w:tbl>
                <w:p>
                  <w:pPr>
                    <w:pStyle w:val="EMPTY_CELL_STYLE"/>
                  </w:pPr>
                </w:p>
              </w:tc>
            </w:tr>
            <w:tr>
              <w:trPr>
                <w:trHeight w:hRule="exact" w:val="22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22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Оценка риска заключения договора с участником, в связи с предоставлением в составе заявки документов, не соответствующих требованиям закупочной документации либо их отсутствием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Юридическая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3.2.1</w:t>
                        </w:r>
                      </w:p>
                    </w:tc>
                  </w:tr>
                </w:tbl>
                <w:p>
                  <w:pPr>
                    <w:pStyle w:val="EMPTY_CELL_STYLE"/>
                  </w:pPr>
                </w:p>
              </w:tc>
            </w:tr>
          </w:tbl>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19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br/>
              <w:t xml:space="preserve">- на первом этапе проводиться экспертиза только по техническому направлению; </w:t>
              <w:br/>
              <w:t xml:space="preserve">- на втором этапе проводятся экспертизы по направлениям: экономическая безопасность, квалификационная, юридическая; </w:t>
              <w:br/>
              <w:t xml:space="preserve">- на третьем этапе проводится коммерческая экспертиза.</w:t>
            </w:r>
          </w:p>
        </w:tc>
        <w:tc>
          <w:tcPr>
     </w:tcPr>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2" w:name="JR_PAGE_ANCHOR_0_3"/>
            <w:bookmarkEnd w:id="2"/>
          </w:p>
        </w:tc>
        <w:tc>
          <w:tcPr>
     </w:tcPr>
          <w:p>
            <w:pPr>
              <w:pStyle w:val="EMPTY_CELL_STYLE"/>
            </w:pPr>
          </w:p>
        </w:tc>
        <w:tc>
          <w:tcPr>
     </w:tcPr>
          <w:p>
            <w:pPr>
              <w:pStyle w:val="EMPTY_CELL_STYLE"/>
            </w:pPr>
          </w:p>
        </w:tc>
      </w:tr>
      <w:tr>
        <w:trPr>
          <w:trHeight w:hRule="atLeast" w:val="54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3. Закупочная/конкурсная комиссия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Pr>
          <w:p>
            <w:pPr>
              <w:pStyle w:val="EMPTY_CELL_STYLE"/>
            </w:pPr>
          </w:p>
        </w:tc>
      </w:tr>
      <w:tr>
        <w:trPr>
          <w:trHeight w:hRule="exact" w:val="60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6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t xml:space="preserve">4. Присвоение баллов осуществляется экспертным путем в соответствии с Приложением 1 к настоящему Руководству.</w:t>
                  </w:r>
                </w:p>
              </w:tc>
            </w:tr>
          </w:tbl>
          <w:p>
            <w:pPr>
              <w:pStyle w:val="EMPTY_CELL_STYLE"/>
            </w:pPr>
          </w:p>
        </w:tc>
        <w:tc>
          <w:tcPr>
     </w:tcPr>
          <w:p>
            <w:pPr>
              <w:pStyle w:val="EMPTY_CELL_STYLE"/>
            </w:pPr>
          </w:p>
        </w:tc>
      </w:tr>
      <w:tr>
        <w:trPr>
          <w:trHeight w:hRule="exact" w:val="604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4.1.  Присвоение баллов заявкам по критерию 1 Деловая репутация Участника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сумма баллов (с учетом значимости) по подкритериям критерия 1 Деловая репутация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сумма баллов по соответствующим подкритериям критерия 1;</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значимость каждого подкритерия критерия 1.</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4.2.  Присвоение баллов заявкам по критерию 2 Коммерческое предложение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сумма баллов (с учетом значимости) по подкритериям критерия 2 Коммерческое предложение;</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сумма баллов по соответствующим подкритериям критерия 2;</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значимость каждого подкритерия критерия 2.</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3" w:name="JR_PAGE_ANCHOR_0_4"/>
            <w:bookmarkEnd w:id="3"/>
          </w:p>
        </w:tc>
        <w:tc>
          <w:tcPr>
     </w:tcPr>
          <w:p>
            <w:pPr>
              <w:pStyle w:val="EMPTY_CELL_STYLE"/>
            </w:pPr>
          </w:p>
        </w:tc>
        <w:tc>
          <w:tcPr>
     </w:tcPr>
          <w:p>
            <w:pPr>
              <w:pStyle w:val="EMPTY_CELL_STYLE"/>
            </w:pPr>
          </w:p>
        </w:tc>
      </w:tr>
      <w:tr>
        <w:trPr>
          <w:trHeight w:hRule="exact" w:val="1644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1644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4.2.1 Присвоение баллов заявкам по критерию 2.1 «Цена договора, предложенная участником» осуществляется в следующем порядке:</w:t>
                    <w:br/>
                    <w:t xml:space="preserve">первоначально проводится выбор шкалы оценок и присвоение плановой сумме базовой оценки: если хотя бы у одного участника Цена договора, предложенная участником (далее – ОФЕРТА) меньше начальной (максимальной) цены (далее – ГКПЗ), то шкала оценок от 1 до 5, плановая сумма ГКПЗ - 2 балла (сценарий 1), если все значения не меньше ГКПЗ, то шкала оценок от 1 до 3, плановая сумма ГКПЗ - 3 балла, т.е. максимум (сценарий 2):</w:t>
                    <w:br/>
                    <w:br/>
                    <w:t xml:space="preserve">ЕСЛИ(МИН(ДИАПАЗОН)&lt;ГКПЗ;</w:t>
                    <w:br/>
                    <w:br/>
                    <w:t xml:space="preserve">Сценарий 1: шкала оценок от 1 до 5. Проводится сопоставление ОФЕРТЫ участника и ГКПЗ:</w:t>
                    <w:br/>
                    <w:br/>
                    <w:t xml:space="preserve">ЕСЛИ(ОФЕРТА/ГКПЗ)&gt;1;</w:t>
                    <w:br/>
                    <w:br/>
                    <w:t xml:space="preserve">Если оферта участника равна ГКПЗ, то такой Участник получает 2 балла. Другие участники оцениваются по одному из следующих сценариев 1а или 1б:</w:t>
                    <w:br/>
                    <w:t xml:space="preserve">Сценарий 1а: ОФЕРТА участника больше ГКПЗ. Выполняется расчёт оценок в диапазоне от 1 до 2:</w:t>
                    <w:br/>
                    <w:br/>
                    <w:t xml:space="preserve">ЕСЛИ(ОФЕРТА=МАКС(ДИАПАЗОН) то 1;</w:t>
                    <w:br/>
                    <w:br/>
                    <w:t xml:space="preserve">иначе ((МАКС(ДИАПАЗОН)-ОФЕРТА)/(МАКС(ДИАПАЗОН)-ГКПЗ))+1);</w:t>
                    <w:br/>
                    <w:br/>
                    <w:t xml:space="preserve">Сценарий 1б: ОФЕРТА участника меньше ГКПЗ. Проверяется, есть ли предложения участника меньше ГКПЗ на 30%:</w:t>
                    <w:br/>
                    <w:br/>
                    <w:t xml:space="preserve">ЕСЛИ((МИН(ДИАПАЗОН)/ГКПЗ)&lt;0,7;</w:t>
                    <w:br/>
                    <w:br/>
                    <w:t xml:space="preserve">если минимальное предложение меньше ГКПЗ на 30%, то максимальному баллу 5 соответствует минимальное предложение:</w:t>
                    <w:br/>
                    <w:br/>
                    <w:t xml:space="preserve">ЕСЛИ(ОФЕРТА=МИН(ДИАПАЗОН) то 5;</w:t>
                    <w:br/>
                    <w:br/>
                    <w:t xml:space="preserve">иначе ((ГКПЗ-ОФЕРТА)*3/(ГКПЗ-МИН(ДИАПАЗОН))+2));</w:t>
                    <w:br/>
                    <w:br/>
                    <w:t xml:space="preserve">если минимальное предложение не меньше ГКПЗ на 30%, то максимальному баллу 5 соответствует сумма ГКПЗ минус 30%. Выполняется расчёт оценки в диапазоне от 2 до 5:</w:t>
                    <w:br/>
                    <w:br/>
                    <w:t xml:space="preserve">((ГКПЗ-ОФЕРТА)/(ГКПЗ)*10)+2));</w:t>
                    <w:br/>
                    <w:br/>
                    <w:t xml:space="preserve">Сценарий 2: шкала оценок от 1 до 3. 3 балла получает Участник с ценой ОФЕРТЫ равной плановой сумме ГКПЗ. Расчёт оценок остальных участников выполняется в диапазоне от 1 до 3:</w:t>
                    <w:br/>
                    <w:br/>
                    <w:t xml:space="preserve">ЕСЛИ(ОФЕРТА=МАКС(ДИАПАЗОН) то 1;</w:t>
                    <w:br/>
                    <w:br/>
                    <w:t xml:space="preserve">иначе ((МАКС(ДИАПАЗОН)-ОФЕРТА)*2/(МАКС(ДИАПАЗОН)-ГКПЗ))+1);</w:t>
                    <w:br/>
                    <w:br/>
                    <w:t xml:space="preserve">При этом, в случае, если закупочная процедура проводится в соответствии с Федеральным законом от 18.07.2011 223-ФЗ и в рамках закупки предусмотрена возможность поставки товаров (работ услуг) как иностранного, так и Российского происхождения, то:</w:t>
                    <w:br/>
                    <w:t xml:space="preserve">А) Оценка и сопоставление заявок на участие в закупке, которые содержат предложения о поставке товаров российского происхождения (и/или происхождения в иной стране, также имеющей преференции согласно Постановлению Правительства Российской Федерации от 16.09.2016 №925), выполнении работ, оказании услуг российскими лицами (или иностранными лицами, также имеющими преференции согласно Постановлению Правительства Российской Федерации от 16.09.2016 №925) в объеме более 50% стоимости всех предложенных участником товаров, работ, услуг, оцениваются по критерию «Цена договора» по предложенной в заявке цене договора, сниженной на 15%.</w:t>
                    <w:br/>
                    <w:t xml:space="preserve">Б) Если все участники подтвердили, что в их предложениях не содержится предложений о поставке товаров (работ, услуг) иностранного происхождения или все участники предложили продукцию иностранного </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4" w:name="JR_PAGE_ANCHOR_0_5"/>
            <w:bookmarkEnd w:id="4"/>
          </w:p>
        </w:tc>
        <w:tc>
          <w:tcPr>
     </w:tcPr>
          <w:p>
            <w:pPr>
              <w:pStyle w:val="EMPTY_CELL_STYLE"/>
            </w:pPr>
          </w:p>
        </w:tc>
        <w:tc>
          <w:tcPr>
     </w:tcPr>
          <w:p>
            <w:pPr>
              <w:pStyle w:val="EMPTY_CELL_STYLE"/>
            </w:pPr>
          </w:p>
        </w:tc>
      </w:tr>
      <w:tr>
        <w:trPr>
          <w:trHeight w:hRule="exact" w:val="1042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8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t xml:space="preserve">происхождения, приоритет таким участникам не предоставляется и преференции при оценке критерия «Цена договора» в размере 15% от цены договора не применяются.)</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  Присвоение баллов заявкам по критерию 3 Надежность Участника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сумма баллов (с учетом значимости) по подкритериям критерия 3 Надежность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сумма баллов по соответствующим подкритериям критерия 3;</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значимость каждого подкритерия критерия 3.</w:t>
                  </w:r>
                </w:p>
              </w:tc>
            </w:tr>
            <w:tr>
              <w:trPr>
                <w:trHeight w:hRule="atLeast" w:val="33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4.3.1.  Присвоение баллов заявкам по критерию 3.1 Добровольные системы подтверждения квалификации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сумма баллов (с учетом значимости) по подкритериям критерия 3.1 Добровольные системы подтверждения квалификации;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сумма баллов по соответствующим подкритериям критерия 3.1;</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значимость каждого подкритерия критерия 3.1.</w:t>
                  </w:r>
                </w:p>
              </w:tc>
            </w:tr>
            <w:tr>
              <w:trPr>
                <w:trHeight w:hRule="atLeast" w:val="33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4.3.2.  Присвоение баллов заявкам по критерию 3.2 Юридические риски с учётом предложенных условий договора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сумма баллов (с учетом значимости) по подкритериям критерия 3.2 Юридические риски с учётом предложенных условий договора;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t xml:space="preserve"> − сумма баллов по соответствующим подкритериям критерия 3.2;</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t xml:space="preserve"> − значимость каждого подкритерия критерия 3.2.</w:t>
                  </w:r>
                </w:p>
              </w:tc>
            </w:tr>
          </w:tbl>
          <w:p>
            <w:pPr>
              <w:pStyle w:val="EMPTY_CELL_STYLE"/>
            </w:pPr>
          </w:p>
        </w:tc>
        <w:tc>
          <w:tcPr>
     </w:tcPr>
          <w:p>
            <w:pPr>
              <w:pStyle w:val="EMPTY_CELL_STYLE"/>
            </w:pPr>
          </w:p>
        </w:tc>
      </w:tr>
      <w:tr>
        <w:trPr>
          <w:trHeight w:hRule="exact" w:val="450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45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4.4.  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br/>
                    <w:br/>
                  </w:r>
                  <w:r>
                    <w:rPr>
                      <w:rFonts w:ascii="Times New Roman" w:hAnsi="Times New Roman" w:eastAsia="Times New Roman" w:cs="Times New Roman"/>
                      <w:color w:val="000000"/>
                      <w:sz w:val="28"/>
                      <w:b w:val="true"/>
                      <w:i w:val="true"/>
                    </w:rPr>
                    <w:t xml:space="preserve">И</w:t>
                  </w:r>
                  <w:r>
                    <w:rPr>
                      <w:rFonts w:ascii="Times New Roman" w:hAnsi="Times New Roman" w:eastAsia="Times New Roman" w:cs="Times New Roman"/>
                      <w:color w:val="000000"/>
                      <w:sz w:val="20"/>
                      <w:i w:val="true"/>
                    </w:rPr>
                    <w:t xml:space="preserve">СБ</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28"/>
                      <w:b w:val="true"/>
                      <w:i w:val="true"/>
                    </w:rPr>
                    <w:t xml:space="preserve">И</w:t>
                  </w:r>
                  <w:r>
                    <w:rPr>
                      <w:rFonts w:ascii="Times New Roman" w:hAnsi="Times New Roman" w:eastAsia="Times New Roman" w:cs="Times New Roman"/>
                      <w:color w:val="000000"/>
                      <w:sz w:val="20"/>
                      <w:i w:val="true"/>
                    </w:rPr>
                    <w:t xml:space="preserve">СБ</w:t>
                  </w:r>
                  <w:r>
                    <w:rPr>
                      <w:rFonts w:ascii="Times New Roman" w:hAnsi="Times New Roman" w:eastAsia="Times New Roman" w:cs="Times New Roman"/>
                      <w:color w:val="000000"/>
                      <w:sz w:val="24"/>
                    </w:rPr>
                    <w:t xml:space="preserve">– итоговая сумма баллов Конкурсной заявки;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балл по критерию Деловая репутация Участника</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значимость критерия Деловая репутация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балл по критерию Коммерческое предложение</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значимость критерия Коммерческое предложение</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сумма баллов по критерию Надежность Участника</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значимость критерия Надежность Участника</w:t>
                    <w:br/>
                  </w:r>
                </w:p>
              </w:tc>
            </w:tr>
          </w:tbl>
          <w:p>
            <w:pPr>
              <w:pStyle w:val="EMPTY_CELL_STYLE"/>
            </w:pPr>
          </w:p>
        </w:tc>
        <w:tc>
          <w:tcPr>
     </w:tcPr>
          <w:p>
            <w:pPr>
              <w:pStyle w:val="EMPTY_CELL_STYLE"/>
            </w:pPr>
          </w:p>
        </w:tc>
      </w:tr>
      <w:tr>
        <w:trPr>
          <w:trHeight w:hRule="atLeast" w:val="15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количество баллов. Такая заявка считается содержащей лучшие условия исполнения договора. В случае если в нескольких заявках содержатся </w:t>
            </w: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5" w:name="JR_PAGE_ANCHOR_0_6"/>
            <w:bookmarkEnd w:id="5"/>
          </w:p>
        </w:tc>
        <w:tc>
          <w:tcPr>
     </w:tcPr>
          <w:p>
            <w:pPr>
              <w:pStyle w:val="EMPTY_CELL_STYLE"/>
            </w:pPr>
          </w:p>
        </w:tc>
        <w:tc>
          <w:tcPr>
     </w:tcPr>
          <w:p>
            <w:pPr>
              <w:pStyle w:val="EMPTY_CELL_STYLE"/>
            </w:pPr>
          </w:p>
        </w:tc>
      </w:tr>
      <w:tr>
        <w:trPr>
          <w:trHeight w:hRule="atLeast" w:val="330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t xml:space="preserve">одинаковые условия исполнения договора и такие заявки получили одинаковые итоговые значения, меньший порядковый номер присваивается заявке, поступившей (зарегистрированной на электронной площадке) раньше. </w:t>
              <w:br/>
              <w:br/>
              <w:t xml:space="preserve"> 6.  При проведении процедуры переторжки или переговоров предыдущее ранжирование участников считается предварительным. После проведения переторжки (переговоров) Закупочная комиссия (экспертная группа) повторно оценивает критерии, информация по которым изменилась. При этом, после проведения переговоров, повторно может проводиться экспертиза по любому критерию/подкритерию. При проведении переторжки повторно проводится только экспертиза по коммерческому направлению. </w:t>
              <w:br/>
              <w:t xml:space="preserve"> По закупкам, участниками которых могут быть только СМСП, коммерческая экспертиза проводиться один раз (оцениваются либо первичные коммерческие предложения, либо поданные на этапе подачи дополнительных ценовых предложений участников дополнительные ценовые предложения).</w:t>
            </w:r>
          </w:p>
        </w:tc>
        <w:tc>
          <w:tcPr>
     </w:tcPr>
          <w:p>
            <w:pPr>
              <w:pStyle w:val="EMPTY_CELL_STYLE"/>
            </w:pPr>
          </w:p>
        </w:tc>
      </w:tr>
    </w:tbl>
    <w:p>
      <w:pPr>
        <w:sectPr>
          <w:pgSz w:w="11900" w:h="16840" w:orient="portrait"/>
          <w:pgMar w:top="200" w:right="200" w:bottom="0" w:left="200" w:header="0" w:footer="0" w:gutter="0"/>
          <w:docGrid w:linePitch="360"/>
        </w:sectPr>
      </w:pPr>
    </w:p>
    <w:sectPr>
      <w:pgSz w:w="11900" w:h="16840" w:orient="portrait"/>
      <w:pgMar w:top="200" w:right="200" w:bottom="0" w:left="200" w:header="0" w:footer="0" w:gutter="0"/>
      <w:docGrid w:linePitch="360"/>
    </w:sectPr>
    <w:tbl>
      <w:tblPr>
        <w:tblLayout w:type="fixed"/>
      </w:tblPr>
      <w:tblGrid>
        <w:gridCol w:w="1"/>
        <w:gridCol w:w="20"/>
        <w:gridCol w:w="3600"/>
        <w:gridCol w:w="2000"/>
        <w:gridCol w:w="4900"/>
        <w:gridCol w:w="2280"/>
        <w:gridCol w:w="3300"/>
        <w:gridCol w:w="20"/>
        <w:gridCol w:w="320"/>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rPr>
              <w:t xml:space="preserve">Приложение 1 к руководству</w:t>
              <w:br/>
            </w:r>
          </w:p>
        </w:tc>
        <w:tc>
          <w:tcPr>
     </w:tcPr>
          <w:p>
            <w:pPr>
              <w:pStyle w:val="EMPTY_CELL_STYLE"/>
            </w:pPr>
          </w:p>
        </w:tc>
        <w:tc>
          <w:tcPr>
     </w:tcPr>
          <w:p>
            <w:pPr>
              <w:pStyle w:val="EMPTY_CELL_STYLE"/>
            </w:pPr>
          </w:p>
        </w:tc>
      </w:tr>
      <w:tr>
        <w:trPr>
          <w:trHeight w:hRule="exact" w:val="400"/>
        </w:trPr>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ПРИСВОЕНИЯ БАЛЛОВ</w:t>
            </w: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890.22.00115</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Коммерческая экспертиза</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5"/>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6"/>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 w:name="JR_PAGE_ANCHOR_0_1"/>
                  <w:bookmarkEnd w:id="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 w:name="JR_PAGE_ANCHOR_0_1"/>
                  <w:bookmarkEnd w:id="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 w:name="JR_PAGE_ANCHOR_0_1"/>
                  <w:bookmarkEnd w:id="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200"/>
        <w:gridCol w:w="1800"/>
        <w:gridCol w:w="7800"/>
        <w:gridCol w:w="1680"/>
        <w:gridCol w:w="20"/>
        <w:gridCol w:w="1580"/>
        <w:gridCol w:w="20"/>
        <w:gridCol w:w="1600"/>
        <w:gridCol w:w="1340"/>
        <w:gridCol w:w="400"/>
      </w:tblGrid>
      <w:tr>
        <w:trPr>
          <w:trHeight w:hRule="exact" w:val="0"/>
        </w:trPr>
        <w:tc>
          <w:tcPr>
     </w:tcPr>
          <w:p>
            <w:pPr>
              <w:pStyle w:val="EMPTY_CELL_STYLE"/>
              <w:pageBreakBefore/>
            </w:pPr>
            <w:bookmarkStart w:id="4" w:name="JR_PAGE_ANCHOR_0_2"/>
            <w:bookmarkEnd w:id="4"/>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gridSpan w:val="3"/>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Сумма ГКПЗ</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 п/п</w:t>
            </w:r>
          </w:p>
        </w:tc>
        <w:tc>
          <w:tcPr>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Наименование участника процедуры</w:t>
            </w:r>
          </w:p>
        </w:tc>
        <w:tc>
          <w:tcPr>
            <w:gridSpan w:val="2"/>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Цена договора, предложенная участником, руб. без НДС</w:t>
            </w: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400"/>
        </w:trPr>
        <w:tc>
          <w:tcPr>
     </w:tcPr>
          <w:p>
            <w:pPr>
              <w:pStyle w:val="EMPTY_CELL_STYLE"/>
            </w:pPr>
          </w:p>
        </w:tc>
        <w:tc>
          <w:tcPr>
     </w:tcPr>
          <w:p>
            <w:pPr>
              <w:pStyle w:val="EMPTY_CELL_STYLE"/>
            </w:pPr>
          </w:p>
        </w:tc>
        <w:tc>
          <w:tcPr>
            <w:gridSpan w:val="8"/>
            <w:tcMar>
              <w:top w:w="0" w:type="dxa"/>
              <w:left w:w="0" w:type="dxa"/>
              <w:bottom w:w="0" w:type="dxa"/>
              <w:right w:w="0" w:type="dxa"/>
            </w:tcMar>
          </w:tcPr>
          <w:tbl>
            <w:tblPr>
              <w:tblLayout w:type="fixed"/>
            </w:tblPr>
            <w:tblGrid>
              <w:gridCol w:w="8400"/>
              <w:gridCol w:w="740"/>
              <w:gridCol w:w="740"/>
              <w:gridCol w:w="740"/>
              <w:gridCol w:w="760"/>
              <w:gridCol w:w="760"/>
              <w:gridCol w:w="740"/>
              <w:gridCol w:w="740"/>
              <w:gridCol w:w="740"/>
              <w:gridCol w:w="740"/>
              <w:gridCol w:w="740"/>
            </w:tblGrid>
            <w:tr>
              <w:trPr>
                <w:trHeight w:hRule="exact" w:val="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(максимальная оценка по позиции –  5 баллов)</w:t>
                        </w:r>
                      </w:p>
                    </w:tc>
                  </w:tr>
                  <w:tr>
                    <w:trPr>
                      <w:trHeight w:hRule="exact" w:val="400"/>
                    </w:trPr>
                    <w:tc>
                      <w:tcPr>
                        <w:shd w:val="clear" w:color="auto" w:fill="FFFFFF"/>
                        <w:tcBorders>
                          <w:top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Критерии оценки</w:t>
                        </w:r>
                      </w:p>
                    </w:tc>
                  </w:tr>
                </w:tbl>
                <w:p>
                  <w:pPr>
                    <w:pStyle w:val="EMPTY_CELL_STYLE"/>
                  </w:pPr>
                </w:p>
              </w:tc>
              <w:tc>
                <w:tcPr>
                  <w:gridSpan w:val="10"/>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40"/>
                    <w:gridCol w:w="74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участника</w:t>
                        </w:r>
                      </w:p>
                    </w:tc>
                  </w:tr>
                </w:tbl>
                <w:p>
                  <w:pPr>
                    <w:pStyle w:val="EMPTY_CELL_STYLE"/>
                  </w:pPr>
                </w:p>
              </w:tc>
            </w:tr>
            <w:tr>
              <w:trPr>
                <w:trHeight w:hRule="exact" w:val="4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4</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5</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6</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7</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8</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9</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5" w:name="JR_PAGE_ANCHOR_0_2"/>
                  <w:bookmarkEnd w:id="5"/>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6" w:name="JR_PAGE_ANCHOR_0_2"/>
                  <w:bookmarkEnd w:id="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7" w:name="JR_PAGE_ANCHOR_0_2"/>
                  <w:bookmarkEnd w:id="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8" w:name="JR_PAGE_ANCHOR_0_2"/>
                  <w:bookmarkEnd w:id="8"/>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9" w:name="JR_PAGE_ANCHOR_0_2"/>
                  <w:bookmarkEnd w:id="9"/>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0" w:name="JR_PAGE_ANCHOR_0_2"/>
                  <w:bookmarkEnd w:id="10"/>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1" w:name="JR_PAGE_ANCHOR_0_2"/>
                  <w:bookmarkEnd w:id="1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2" w:name="JR_PAGE_ANCHOR_0_2"/>
                  <w:bookmarkEnd w:id="1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3" w:name="JR_PAGE_ANCHOR_0_2"/>
                  <w:bookmarkEnd w:id="13"/>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4" w:name="JR_PAGE_ANCHOR_0_2"/>
                  <w:bookmarkEnd w:id="14"/>
                </w:p>
                <w:p>
                  <w:r>
                    <w:br w:type="page"/>
                  </w:r>
                </w:p>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15" w:name="JR_PAGE_ANCHOR_0_3"/>
            <w:bookmarkEnd w:id="1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890.22.00115</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Экономическая безопасность</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16" w:name="JR_PAGE_ANCHOR_0_3"/>
                  <w:bookmarkEnd w:id="1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7" w:name="JR_PAGE_ANCHOR_0_3"/>
                  <w:bookmarkEnd w:id="1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8" w:name="JR_PAGE_ANCHOR_0_3"/>
                  <w:bookmarkEnd w:id="1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19" w:name="JR_PAGE_ANCHOR_0_4"/>
            <w:bookmarkEnd w:id="1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302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14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42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82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Неприемлемая деловая репутация</w:t>
                          <w:br/>
                          <w:t xml:space="preserve">От 1 до 5 баллов  - Баллы выставляются в соотвествии с Методикой оценки деловой репутации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0" w:name="JR_PAGE_ANCHOR_0_5"/>
            <w:bookmarkEnd w:id="2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890.22.00115</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Техническая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1" w:name="JR_PAGE_ANCHOR_0_5"/>
                  <w:bookmarkEnd w:id="2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2" w:name="JR_PAGE_ANCHOR_0_5"/>
                  <w:bookmarkEnd w:id="2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3" w:name="JR_PAGE_ANCHOR_0_5"/>
                  <w:bookmarkEnd w:id="2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4" w:name="JR_PAGE_ANCHOR_0_6"/>
            <w:bookmarkEnd w:id="2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5" w:name="JR_PAGE_ANCHOR_0_7"/>
            <w:bookmarkEnd w:id="2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890.22.00115</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Юридическая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6" w:name="JR_PAGE_ANCHOR_0_7"/>
                  <w:bookmarkEnd w:id="2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7" w:name="JR_PAGE_ANCHOR_0_7"/>
                  <w:bookmarkEnd w:id="2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8" w:name="JR_PAGE_ANCHOR_0_7"/>
                  <w:bookmarkEnd w:id="2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9" w:name="JR_PAGE_ANCHOR_0_8"/>
            <w:bookmarkEnd w:id="2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6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50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50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Оценка риска заключения договора с участником, в связи с предоставлением в составе заявки документов, не соответствующих требованиям закупочной документации либо их отсутствием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44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Непредставление документов, установленных требованиями Закупочной документации и/или представление документов не соответствующих требованиям Закупочной документации и/или представление документов, не подтверждающих соответствие участника требованиям Закупочной документации (за исключением документов, указанных при описании оценки 2 балла). Отсутствие участника в Едином реестре СМСП или информации об участнике как о плательщике налога на профессиональный доход (при закупке у СМСП)</w:t>
                          <w:br/>
                          <w:t xml:space="preserve">1 балл - Не используется для оценки</w:t>
                          <w:br/>
                          <w:t xml:space="preserve">2 балла - Не представление участником справок (одной или обоих) о крупности и/или заинтересованности сделок или представление участником справок (одной или обоих) о крупности и/или заинтересованности сделок не соответствующих требованиям  Закупочной документации и/или законодательству РФ; не представление действующей версии Устава</w:t>
                          <w:br/>
                          <w:t xml:space="preserve">3 балла - Участник/предложение участника соответствует требованиям Закупочной документации. Приемлемые риски</w:t>
                          <w:br/>
                          <w:t xml:space="preserve">От 4 до 5 баллов  - диапапзон не используется для оценки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38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38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38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30" w:name="JR_PAGE_ANCHOR_0_9"/>
            <w:bookmarkEnd w:id="3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890.22.00115</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Квалификационная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31" w:name="JR_PAGE_ANCHOR_0_9"/>
                  <w:bookmarkEnd w:id="3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2" w:name="JR_PAGE_ANCHOR_0_9"/>
                  <w:bookmarkEnd w:id="3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3" w:name="JR_PAGE_ANCHOR_0_9"/>
                  <w:bookmarkEnd w:id="3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34" w:name="JR_PAGE_ANCHOR_0_10"/>
            <w:bookmarkEnd w:id="3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748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28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8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Наличие сертифицированных систем менеджмента и/или иных добровольных сертифицированных подтверждений компетенции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2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подтверждения наличия сертифицированных систем менеджмента и/или иных добровольных сертифицированных подтверждений компетенции ИЛИ в случае отсутствия данного требования в ТЗ</w:t>
                          <w:br/>
                          <w:t xml:space="preserve">От 2 до 5 баллов  - От 2 до 5 баллов рассчитывается по формуле: 1 + Су (но не более 5 баллов) где, Су - кол-во сертифицированных систем менеджмента и/или иных добровольных сертифицированных подтверждений компетенции, требуемых в ТЗ</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r>
              <w:trPr>
                <w:trHeight w:hRule="exact" w:val="308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308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Аккредитация при государственных, муниципальных, частных или иных заказчиках</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48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подтверждения наличия аккредитации при государственных, муниципальных, частных или иных заказчиках в качестве поставщика закупаемых в рамках данной процедуры товаров, работ, услуг</w:t>
                          <w:br/>
                          <w:t xml:space="preserve">2 балла - Не используется для оценки</w:t>
                          <w:br/>
                          <w:t xml:space="preserve">От 3 до 5 баллов  - От 3 до 5 баллов рассчитывается по формуле: 2 + Ау (но не более 5 баллов) где, Ау - кол-во представленных участником сертификатов/свидетельств об аккредитаций в качестве поставщика, закупаемых в рамках данной процедуры товаров, работ, услуг при  государственных, муниципальных, частных или иных заказчиках</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88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88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88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sectPr>
      <w:pgSz w:w="16840" w:h="11900" w:orient="landscape"/>
      <w:pgMar w:top="200" w:right="200" w:bottom="0" w:left="200" w:header="0" w:footer="0" w:gutter="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s>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s>
</file>

<file path=word/_rels/document.xml.rels><?xml version="1.0" encoding="UTF-8" standalone="yes"?><Relationships xmlns="http://schemas.openxmlformats.org/package/2006/relationships"><Relationship Id="img_0_0_3.jpg" Target="media/img_0_0_3.jpg" Type="http://schemas.openxmlformats.org/officeDocument/2006/relationships/image"/><Relationship Id="rId1" Target="styles.xml" Type="http://schemas.openxmlformats.org/officeDocument/2006/relationships/styles"/><Relationship Id="rId2" Target="settings.xml" Type="http://schemas.openxmlformats.org/officeDocument/2006/relationships/settings"/><Relationship Id="rId3" Target="fontTable.xml" Type="http://schemas.openxmlformats.org/officeDocument/2006/relationships/fontTable"/></Relationships>
</file>

<file path=docProps/app.xml><?xml version="1.0" encoding="utf-8"?>
<Properties xmlns="http://schemas.openxmlformats.org/officeDocument/2006/extended-properties">
  <Application>JasperReports Library version 6.12.2-75c5e90a222ab406e416cbf590a5397028a52de3</Application>
</Properties>
</file>

<file path=docProps/core.xml><?xml version="1.0" encoding="utf-8"?>
<cp:coreProperties xmlns:cp="http://schemas.openxmlformats.org/package/2006/metadata/core-properties" xmlns:dc="http://purl.org/dc/elements/1.1/" xmlns:dcterms="http://purl.org/dc/terms/" xmlns:xsi="http://www.w3.org/2001/XMLSchema-instance"/>
</file>